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D9" w:rsidRPr="001B07F5" w:rsidRDefault="00482CD9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bookmarkStart w:id="0" w:name="_GoBack"/>
    </w:p>
    <w:p w:rsidR="00DE1734" w:rsidRPr="001B07F5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1B07F5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DE1734" w:rsidRPr="001B07F5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="00375792"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ապրիլ</w:t>
      </w:r>
      <w:r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ի </w:t>
      </w:r>
      <w:r w:rsidR="004A64CF"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</w:t>
      </w:r>
      <w:r w:rsidR="00492C99"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9</w:t>
      </w:r>
      <w:r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-ի N 1 որոշմամբ և հրապարակվում է</w:t>
      </w:r>
    </w:p>
    <w:p w:rsidR="00DE1734" w:rsidRPr="001B07F5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DE1734" w:rsidRPr="001B07F5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Ընթացակարգի ծածկագիրը`  ՀՀ ՊՆ ՆՏԱԴ-ՓՆՄԾՁԲ-</w:t>
      </w:r>
      <w:r w:rsidR="008F0538"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20-</w:t>
      </w:r>
      <w:r w:rsidR="0086733F"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10/12</w:t>
      </w:r>
    </w:p>
    <w:p w:rsidR="00CB6541" w:rsidRPr="001B07F5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>I. ԳՆՄԱՆ ԱՌԱՐԿԱՅԻ ԲՆՈՒԹԱԳԻՐԸ</w:t>
      </w:r>
    </w:p>
    <w:p w:rsidR="00CB6541" w:rsidRPr="001B07F5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1B07F5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1B07F5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տեխնիկական հսկողության ծառայությունների</w:t>
      </w:r>
      <w:r w:rsidR="00DE1734" w:rsidRPr="001B07F5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1B07F5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B6541" w:rsidRPr="001B07F5" w:rsidRDefault="00CB6541" w:rsidP="00CB654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15619E" w:rsidRPr="001B07F5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Ընդ որում</w:t>
      </w:r>
      <w:r w:rsidR="004662DE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՝ </w:t>
      </w:r>
    </w:p>
    <w:p w:rsidR="0015619E" w:rsidRPr="001B07F5" w:rsidRDefault="0015619E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>Ո</w:t>
      </w:r>
      <w:r w:rsidR="004662DE"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րոշ </w:t>
      </w:r>
      <w:r w:rsidR="004662DE" w:rsidRPr="001B07F5">
        <w:rPr>
          <w:rFonts w:ascii="GHEA Grapalat" w:hAnsi="GHEA Grapalat"/>
          <w:color w:val="000000" w:themeColor="text1"/>
          <w:sz w:val="17"/>
          <w:szCs w:val="17"/>
          <w:lang w:val="af-ZA"/>
        </w:rPr>
        <w:t>ծառայությունների համար</w:t>
      </w:r>
      <w:r w:rsidR="00B51590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համանման են համարվում</w:t>
      </w:r>
      <w:r w:rsidR="000D72FD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՝</w:t>
      </w:r>
      <w:r w:rsidR="00B51590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0B6523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քաղաքաշինության բնագավառում շինարարության որակի տեխնիկական հսկողության իրականացման (բացառությամբ շինարարության թույլտվություն չպահանջվող աշխատանքների) պետական լիցենզիայի՝ «Բնակելի, հասարակ</w:t>
      </w:r>
      <w:r w:rsidR="004E485F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ական և արտադրական», «Էներգետիկ» և</w:t>
      </w:r>
      <w:r w:rsidR="000B6523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4662DE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«Հիդրոտեխ</w:t>
      </w:r>
      <w:r w:rsidR="0014142B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նիկական»</w:t>
      </w:r>
      <w:r w:rsidR="004662DE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0B6523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ներդիրների շրջանակներում իրականացված համանման աշխատանքների որակի </w:t>
      </w:r>
      <w:r w:rsidR="00B51590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տեխնիկական հսկողության ծառա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յությունների մատուցված լինելը:</w:t>
      </w:r>
    </w:p>
    <w:p w:rsidR="00CB6541" w:rsidRPr="001B07F5" w:rsidRDefault="004662DE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15619E"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>Ո</w:t>
      </w:r>
      <w:r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րոշ </w:t>
      </w:r>
      <w:r w:rsidRPr="001B07F5">
        <w:rPr>
          <w:rFonts w:ascii="GHEA Grapalat" w:hAnsi="GHEA Grapalat"/>
          <w:color w:val="000000" w:themeColor="text1"/>
          <w:sz w:val="17"/>
          <w:szCs w:val="17"/>
          <w:lang w:val="af-ZA"/>
        </w:rPr>
        <w:t>ծառայությունների համար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համանման են համարվում</w:t>
      </w:r>
      <w:r w:rsidR="000D72FD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՝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քաղաքաշինության բնագավառում շինարարության որակի տեխնիկական հսկողության իրականացման (բացառությամբ շինարարության թույլտվություն չպահանջվող աշխատանքների) պետական լիցենզիայի՝ </w:t>
      </w:r>
      <w:r w:rsidR="0067720A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A05746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«Հիդրոտեխնիկական» և 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«Էնե</w:t>
      </w:r>
      <w:r w:rsidR="000D72FD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րգետիկ»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ներդիրների շրջանակներում իրականացված համանման աշխատանքների որակի տեխնիկական հսկողության ծառայությունների մատուցված լինելը:   </w:t>
      </w:r>
    </w:p>
    <w:p w:rsidR="0015619E" w:rsidRPr="001B07F5" w:rsidRDefault="0015619E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Որոշ </w:t>
      </w:r>
      <w:r w:rsidRPr="001B07F5">
        <w:rPr>
          <w:rFonts w:ascii="GHEA Grapalat" w:hAnsi="GHEA Grapalat"/>
          <w:color w:val="000000" w:themeColor="text1"/>
          <w:sz w:val="17"/>
          <w:szCs w:val="17"/>
          <w:lang w:val="af-ZA"/>
        </w:rPr>
        <w:t>ծառայությունների համար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համանման են համարվում՝ քաղաքաշինության բնագավառում շինարարության որակի տեխնիկական հսկողության իրականացման (բացառությամբ շինարարության թույլտվություն չպահանջվող աշ</w:t>
      </w:r>
      <w:r w:rsidR="005E090A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խատանքների) պետական լիցենզիայի՝ 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«Բնակելի, հասարակական և արտադրական» ներդիրի շրջանակում իրականացված համանման աշխատանքների որակի տեխնիկական հսկողության ծառայությունների մատուցված լինելը:   </w:t>
      </w:r>
    </w:p>
    <w:p w:rsidR="005E090A" w:rsidRPr="001B07F5" w:rsidRDefault="005E090A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Որոշ </w:t>
      </w:r>
      <w:r w:rsidRPr="001B07F5">
        <w:rPr>
          <w:rFonts w:ascii="GHEA Grapalat" w:hAnsi="GHEA Grapalat"/>
          <w:color w:val="000000" w:themeColor="text1"/>
          <w:sz w:val="17"/>
          <w:szCs w:val="17"/>
          <w:lang w:val="af-ZA"/>
        </w:rPr>
        <w:t>ծառայությունների համար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համանման են համարվում՝ քաղաքաշինության բնագավառում շինարարության որակի տեխնիկական հսկողության իրականացման (բացառությամբ շինարարության թույլտվություն չպահանջվող աշխատանքների) պետական լիցենզիայի՝ «Հիդրոտեխնիկական» ներդիրի շրջանակում իրականացված համանման աշխատանքների որակի տեխնիկական հսկողության ծառայությունների մատուցված լինելը:</w:t>
      </w:r>
    </w:p>
    <w:p w:rsidR="00CB6541" w:rsidRPr="001B07F5" w:rsidRDefault="000B6523" w:rsidP="000B6523">
      <w:pPr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            </w:t>
      </w:r>
      <w:r w:rsidR="00CB6541"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Մասնակիցը համարվում է սույն ենթակետով</w:t>
      </w:r>
      <w:r w:rsidR="00CB6541" w:rsidRPr="001B07F5">
        <w:rPr>
          <w:rFonts w:ascii="GHEA Grapalat" w:hAnsi="GHEA Grapalat"/>
          <w:color w:val="000000" w:themeColor="text1"/>
          <w:sz w:val="18"/>
          <w:lang w:val="af-ZA"/>
        </w:rPr>
        <w:t xml:space="preserve"> նախատեսված որակավորման չափանիշին բավարարող, եթե հայտով ներկայացրել է պահանջվող տեղեկությունները.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42936" w:rsidRPr="001B07F5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1B07F5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1B07F5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1B07F5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1B07F5" w:rsidRDefault="00CB6541" w:rsidP="00482CD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III. </w:t>
      </w:r>
      <w:r w:rsidRPr="001B07F5">
        <w:rPr>
          <w:rFonts w:ascii="GHEA Grapalat" w:hAnsi="GHEA Grapalat" w:cs="Sylfaen"/>
          <w:i w:val="0"/>
          <w:color w:val="000000" w:themeColor="text1"/>
          <w:sz w:val="18"/>
        </w:rPr>
        <w:t>ՊԱՐԶԱԲԱՆՈՒՄ</w:t>
      </w:r>
      <w:r w:rsidRPr="001B07F5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i w:val="0"/>
          <w:color w:val="000000" w:themeColor="text1"/>
          <w:sz w:val="18"/>
        </w:rPr>
        <w:t>ՍՏԱՆԱԼՈՒ</w:t>
      </w:r>
      <w:r w:rsidRPr="001B07F5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i w:val="0"/>
          <w:color w:val="000000" w:themeColor="text1"/>
          <w:sz w:val="18"/>
        </w:rPr>
        <w:t>ԵՎ</w:t>
      </w:r>
      <w:r w:rsidRPr="001B07F5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i w:val="0"/>
          <w:color w:val="000000" w:themeColor="text1"/>
          <w:sz w:val="18"/>
        </w:rPr>
        <w:t>ՀԱՅՏԱՐԱՐՈՒԹՅԱՆ</w:t>
      </w:r>
      <w:r w:rsidRPr="001B07F5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i w:val="0"/>
          <w:color w:val="000000" w:themeColor="text1"/>
          <w:sz w:val="18"/>
        </w:rPr>
        <w:t>ՄԵՋ</w:t>
      </w:r>
    </w:p>
    <w:p w:rsidR="00022CB8" w:rsidRPr="001B07F5" w:rsidRDefault="00CB6541" w:rsidP="007B6F84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ԿԱՐԳԸ</w:t>
      </w:r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242936" w:rsidRPr="001B07F5" w:rsidRDefault="00242936" w:rsidP="007B6F84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CB6541" w:rsidRPr="001B07F5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1B07F5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1B07F5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Arial"/>
          <w:color w:val="000000" w:themeColor="text1"/>
          <w:sz w:val="18"/>
        </w:rPr>
        <w:t>է</w:t>
      </w:r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1B07F5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Հարցման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Arial"/>
          <w:color w:val="000000" w:themeColor="text1"/>
          <w:sz w:val="18"/>
        </w:rPr>
        <w:t>է</w:t>
      </w:r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1B07F5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7.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և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>։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482CD9" w:rsidRPr="001B07F5" w:rsidRDefault="00CB6541" w:rsidP="00482CD9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8.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>։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1B07F5" w:rsidRDefault="00CB6541" w:rsidP="00482CD9">
      <w:pPr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proofErr w:type="spellStart"/>
      <w:proofErr w:type="gramStart"/>
      <w:r w:rsidRPr="001B07F5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proofErr w:type="gram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482CD9" w:rsidRPr="001B07F5" w:rsidRDefault="00482CD9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</w:p>
    <w:p w:rsidR="00CB6541" w:rsidRPr="001B07F5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1B07F5">
        <w:rPr>
          <w:rFonts w:ascii="GHEA Grapalat" w:hAnsi="GHEA Grapalat" w:cs="Tahoma"/>
          <w:color w:val="000000" w:themeColor="text1"/>
          <w:sz w:val="18"/>
        </w:rPr>
        <w:t>։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Փ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1B07F5">
        <w:rPr>
          <w:rFonts w:ascii="GHEA Grapalat" w:hAnsi="GHEA Grapalat" w:cs="Sylfaen"/>
          <w:color w:val="000000" w:themeColor="text1"/>
          <w:sz w:val="18"/>
        </w:rPr>
        <w:t>ը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Arial Unicode"/>
          <w:color w:val="000000" w:themeColor="text1"/>
          <w:sz w:val="18"/>
        </w:rPr>
        <w:t>է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1B07F5">
        <w:rPr>
          <w:rFonts w:ascii="GHEA Grapalat" w:hAnsi="GHEA Grapalat" w:cs="Tahoma"/>
          <w:color w:val="000000" w:themeColor="text1"/>
          <w:sz w:val="18"/>
        </w:rPr>
        <w:t>։</w:t>
      </w:r>
      <w:r w:rsidRPr="001B07F5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1B07F5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1B07F5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1B07F5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1B07F5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1B07F5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1B07F5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1B07F5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1B07F5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1B07F5">
        <w:rPr>
          <w:rFonts w:ascii="GHEA Grapalat" w:hAnsi="GHEA Grapalat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ՀԱՅՏԸ</w:t>
      </w:r>
      <w:r w:rsidRPr="001B07F5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1B07F5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B6541" w:rsidRPr="001B07F5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1B07F5">
        <w:rPr>
          <w:rFonts w:ascii="GHEA Grapalat" w:hAnsi="GHEA Grapalat"/>
          <w:color w:val="000000" w:themeColor="text1"/>
          <w:sz w:val="18"/>
        </w:rPr>
        <w:t>11.</w:t>
      </w:r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1B07F5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1B07F5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1B07F5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1B07F5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1B07F5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1B07F5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1B07F5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</w:rPr>
        <w:t>հ</w:t>
      </w:r>
      <w:r w:rsidRPr="001B07F5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1B07F5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1B07F5">
        <w:rPr>
          <w:rFonts w:ascii="GHEA Grapalat" w:hAnsi="GHEA Grapalat" w:cs="Sylfaen"/>
          <w:color w:val="000000" w:themeColor="text1"/>
          <w:sz w:val="18"/>
        </w:rPr>
        <w:t xml:space="preserve"> է</w:t>
      </w:r>
      <w:proofErr w:type="gramStart"/>
      <w:r w:rsidR="004179A0"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՝ 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proofErr w:type="gram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1B07F5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1B07F5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1B07F5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1B07F5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1B07F5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1B07F5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1B07F5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1B07F5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1B07F5" w:rsidRDefault="00CB6541" w:rsidP="0005475D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13.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1B07F5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0D72FD" w:rsidRPr="001B07F5">
        <w:rPr>
          <w:rFonts w:ascii="GHEA Grapalat" w:hAnsi="GHEA Grapalat" w:cs="Sylfaen"/>
          <w:color w:val="000000" w:themeColor="text1"/>
          <w:sz w:val="18"/>
          <w:szCs w:val="18"/>
        </w:rPr>
        <w:t>19</w:t>
      </w:r>
      <w:r w:rsidR="0005475D" w:rsidRPr="001B07F5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.</w:t>
      </w:r>
      <w:r w:rsidR="0005475D" w:rsidRPr="001B07F5">
        <w:rPr>
          <w:rFonts w:ascii="GHEA Grapalat" w:hAnsi="GHEA Grapalat" w:cs="Sylfaen"/>
          <w:color w:val="000000" w:themeColor="text1"/>
          <w:sz w:val="18"/>
          <w:szCs w:val="18"/>
        </w:rPr>
        <w:t>0</w:t>
      </w:r>
      <w:r w:rsidR="007E7C60" w:rsidRPr="001B07F5">
        <w:rPr>
          <w:rFonts w:ascii="GHEA Grapalat" w:hAnsi="GHEA Grapalat" w:cs="Sylfaen"/>
          <w:color w:val="000000" w:themeColor="text1"/>
          <w:sz w:val="18"/>
          <w:szCs w:val="18"/>
        </w:rPr>
        <w:t>5</w:t>
      </w:r>
      <w:r w:rsidR="0005475D" w:rsidRPr="001B07F5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.20</w:t>
      </w:r>
      <w:r w:rsidR="0005475D" w:rsidRPr="001B07F5">
        <w:rPr>
          <w:rFonts w:ascii="GHEA Grapalat" w:hAnsi="GHEA Grapalat" w:cs="Sylfaen"/>
          <w:color w:val="000000" w:themeColor="text1"/>
          <w:sz w:val="18"/>
          <w:szCs w:val="18"/>
        </w:rPr>
        <w:t>20</w:t>
      </w:r>
      <w:r w:rsidR="0005475D" w:rsidRPr="001B07F5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թ, ժամը 1</w:t>
      </w:r>
      <w:r w:rsidR="00242936" w:rsidRPr="001B07F5">
        <w:rPr>
          <w:rFonts w:ascii="GHEA Grapalat" w:hAnsi="GHEA Grapalat" w:cs="Sylfaen"/>
          <w:color w:val="000000" w:themeColor="text1"/>
          <w:sz w:val="18"/>
          <w:szCs w:val="18"/>
        </w:rPr>
        <w:t>2</w:t>
      </w:r>
      <w:r w:rsidR="0005475D" w:rsidRPr="001B07F5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:</w:t>
      </w:r>
      <w:r w:rsidR="00750131" w:rsidRPr="001B07F5">
        <w:rPr>
          <w:rFonts w:ascii="GHEA Grapalat" w:hAnsi="GHEA Grapalat" w:cs="Sylfaen"/>
          <w:color w:val="000000" w:themeColor="text1"/>
          <w:sz w:val="18"/>
          <w:szCs w:val="18"/>
        </w:rPr>
        <w:t>0</w:t>
      </w:r>
      <w:r w:rsidR="0005475D" w:rsidRPr="001B07F5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0-ն:</w:t>
      </w:r>
    </w:p>
    <w:p w:rsidR="0084757D" w:rsidRPr="001B07F5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1B07F5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1B07F5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1B07F5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1B07F5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N 1-ի, </w:t>
      </w:r>
    </w:p>
    <w:p w:rsidR="00CB6541" w:rsidRPr="001B07F5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1B07F5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1B07F5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1B07F5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1B07F5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1B07F5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1B07F5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Ներկայացված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նախաորակավորման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հայտում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ներառվող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բոլոր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փաստաթղթերը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,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բացառությամբ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սույն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>հայտարարության</w:t>
      </w:r>
      <w:proofErr w:type="spellEnd"/>
      <w:r w:rsidR="0084757D" w:rsidRPr="001B07F5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 և </w:t>
      </w:r>
      <w:r w:rsidR="0084757D" w:rsidRPr="001B07F5">
        <w:rPr>
          <w:rFonts w:ascii="GHEA Grapalat" w:hAnsi="GHEA Grapalat" w:cs="Sylfaen"/>
          <w:color w:val="000000" w:themeColor="text1"/>
          <w:sz w:val="18"/>
          <w:szCs w:val="20"/>
        </w:rPr>
        <w:t xml:space="preserve">2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պատճեններից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Փաստաթղթերի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փաթեթների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վրա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համապատասխանաբար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գրվում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են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բնօրինակ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պատճեն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բառերը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</w:rPr>
        <w:t xml:space="preserve">: </w:t>
      </w:r>
      <w:r w:rsidRPr="001B07F5">
        <w:rPr>
          <w:rFonts w:ascii="GHEA Grapalat" w:hAnsi="GHEA Grapalat" w:cs="Sylfaen"/>
          <w:color w:val="000000" w:themeColor="text1"/>
          <w:sz w:val="18"/>
        </w:rPr>
        <w:t>Բ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նօրինակ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փաստաթղթերի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փոխարեն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ներկայացվել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դրանց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նոտարական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կարգով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վավերացված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օրինակները</w:t>
      </w:r>
      <w:r w:rsidRPr="001B07F5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1B07F5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հայտով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022CB8" w:rsidRPr="001B07F5" w:rsidRDefault="00022CB8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B6541" w:rsidRPr="001B07F5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hy-AM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>V.  ՆԱԽԱՈՐԱԿԱՎՈՐՄԱՆ ՀԱՅՏԵՐԻ ԲԱՑՈՒՄԸ</w:t>
      </w:r>
      <w:r w:rsidRPr="001B07F5">
        <w:rPr>
          <w:rFonts w:ascii="GHEA Grapalat" w:hAnsi="GHEA Grapalat"/>
          <w:i w:val="0"/>
          <w:color w:val="000000" w:themeColor="text1"/>
          <w:sz w:val="18"/>
          <w:lang w:val="hy-AM"/>
        </w:rPr>
        <w:t xml:space="preserve">, </w:t>
      </w: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>ԳՆԱՀԱՏՈՒՄԸ  ԵՎ</w:t>
      </w:r>
    </w:p>
    <w:p w:rsidR="00CB6541" w:rsidRPr="001B07F5" w:rsidRDefault="00CB6541" w:rsidP="00022CB8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color w:val="000000" w:themeColor="text1"/>
          <w:sz w:val="18"/>
          <w:lang w:val="af-ZA"/>
        </w:rPr>
        <w:t>ԱՐԴՅՈՒՆՔՆԵՐԻ ԱՄՓՈՓՈՒՄԸ</w:t>
      </w:r>
    </w:p>
    <w:p w:rsidR="00CB6541" w:rsidRPr="001B07F5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19. Նախաորակավորման հայտերի </w:t>
      </w:r>
      <w:r w:rsidRPr="001B07F5">
        <w:rPr>
          <w:rFonts w:ascii="GHEA Grapalat" w:hAnsi="GHEA Grapalat" w:cs="Sylfaen"/>
          <w:color w:val="000000" w:themeColor="text1"/>
          <w:sz w:val="18"/>
          <w:lang w:val="hy-AM"/>
        </w:rPr>
        <w:t>բացումը,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գնահատումը և արդյունքների ամփոփումը </w:t>
      </w:r>
      <w:r w:rsidRPr="001B07F5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հայտերի </w:t>
      </w:r>
      <w:r w:rsidRPr="001B07F5">
        <w:rPr>
          <w:rFonts w:ascii="GHEA Grapalat" w:hAnsi="GHEA Grapalat" w:cs="Sylfaen"/>
          <w:color w:val="000000" w:themeColor="text1"/>
          <w:sz w:val="18"/>
          <w:lang w:val="hy-AM"/>
        </w:rPr>
        <w:t>բացման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hy-AM"/>
        </w:rPr>
        <w:t>նիստում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="000D72FD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19</w:t>
      </w:r>
      <w:r w:rsidR="0082356F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.0</w:t>
      </w:r>
      <w:r w:rsidR="007E7C60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5</w:t>
      </w:r>
      <w:r w:rsidR="0082356F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.2020</w:t>
      </w:r>
      <w:r w:rsidR="0082356F" w:rsidRPr="001B07F5">
        <w:rPr>
          <w:rFonts w:ascii="GHEA Grapalat" w:hAnsi="GHEA Grapalat" w:cs="Sylfaen"/>
          <w:color w:val="000000" w:themeColor="text1"/>
          <w:sz w:val="18"/>
          <w:szCs w:val="18"/>
        </w:rPr>
        <w:t>թ</w:t>
      </w:r>
      <w:r w:rsidR="0082356F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, </w:t>
      </w:r>
      <w:proofErr w:type="spellStart"/>
      <w:r w:rsidR="0082356F" w:rsidRPr="001B07F5">
        <w:rPr>
          <w:rFonts w:ascii="GHEA Grapalat" w:hAnsi="GHEA Grapalat" w:cs="Sylfaen"/>
          <w:color w:val="000000" w:themeColor="text1"/>
          <w:sz w:val="18"/>
          <w:szCs w:val="18"/>
        </w:rPr>
        <w:t>ժամը</w:t>
      </w:r>
      <w:proofErr w:type="spellEnd"/>
      <w:r w:rsidR="0082356F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r w:rsidR="008F0538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1</w:t>
      </w:r>
      <w:r w:rsidR="00242936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2</w:t>
      </w:r>
      <w:r w:rsidR="00FD2F9F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:</w:t>
      </w:r>
      <w:r w:rsidR="00826F26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0</w:t>
      </w:r>
      <w:r w:rsidR="0082356F"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0-</w:t>
      </w:r>
      <w:proofErr w:type="spellStart"/>
      <w:r w:rsidR="0082356F" w:rsidRPr="001B07F5">
        <w:rPr>
          <w:rFonts w:ascii="GHEA Grapalat" w:hAnsi="GHEA Grapalat" w:cs="Sylfaen"/>
          <w:color w:val="000000" w:themeColor="text1"/>
          <w:sz w:val="18"/>
          <w:szCs w:val="18"/>
        </w:rPr>
        <w:t>ին</w:t>
      </w:r>
      <w:proofErr w:type="spellEnd"/>
      <w:r w:rsidR="00007740" w:rsidRPr="001B07F5">
        <w:rPr>
          <w:rFonts w:ascii="GHEA Grapalat" w:hAnsi="GHEA Grapalat" w:cs="Sylfaen"/>
          <w:color w:val="000000" w:themeColor="text1"/>
          <w:sz w:val="18"/>
          <w:szCs w:val="18"/>
        </w:rPr>
        <w:t>:</w:t>
      </w:r>
    </w:p>
    <w:p w:rsidR="00CB6541" w:rsidRPr="001B07F5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Ընդ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որում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գնահատումն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իրականացվում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ներկայացման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վերջնա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softHyphen/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ժամկետը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լրանալու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օրվանից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հաշված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մինչև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երեք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աշխատանքային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օրվա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0"/>
        </w:rPr>
        <w:t>ընթացքում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:</w:t>
      </w:r>
    </w:p>
    <w:p w:rsidR="00CB6541" w:rsidRPr="001B07F5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</w:rPr>
        <w:t>հ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1B07F5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482CD9" w:rsidRPr="001B07F5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1) </w:t>
      </w:r>
      <w:r w:rsidRPr="001B07F5">
        <w:rPr>
          <w:rFonts w:ascii="GHEA Grapalat" w:hAnsi="GHEA Grapalat" w:cs="Sylfaen"/>
          <w:color w:val="000000" w:themeColor="text1"/>
          <w:sz w:val="18"/>
        </w:rPr>
        <w:t>հ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մյուս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482CD9" w:rsidRPr="001B07F5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CB6541" w:rsidRPr="001B07F5" w:rsidRDefault="00CB6541" w:rsidP="00482CD9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1B07F5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1B07F5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1B07F5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1B07F5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1B07F5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1B07F5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1B07F5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1B07F5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1B07F5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1B07F5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1B07F5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1B07F5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ՀՀ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պաշտպանության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նախարարության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նյութատեխնիկական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ապահովման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դեպարտամենտի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գնումների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փաստաթղթերի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ձևակերպման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1B07F5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1B07F5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18"/>
        </w:rPr>
        <w:tab/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1B07F5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1B07F5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1B07F5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1B07F5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1B07F5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EA00D3" w:rsidRPr="001B07F5" w:rsidRDefault="00CB6541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022CB8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</w:t>
      </w:r>
    </w:p>
    <w:p w:rsidR="00CB6541" w:rsidRPr="001B07F5" w:rsidRDefault="00EA00D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</w:t>
      </w:r>
      <w:r w:rsidR="000D72FD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</w:t>
      </w:r>
      <w:r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="00435383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</w:t>
      </w:r>
      <w:r w:rsidR="00F42095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>առաջատար</w:t>
      </w:r>
      <w:r w:rsidR="00435383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մասնագետ </w:t>
      </w:r>
      <w:r w:rsidR="00022CB8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            </w:t>
      </w:r>
      <w:r w:rsidR="00435383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>Մ. Հոխեյանին:</w:t>
      </w:r>
      <w:r w:rsidR="00CB6541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1B07F5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1B07F5">
        <w:rPr>
          <w:rFonts w:ascii="GHEA Grapalat" w:hAnsi="GHEA Grapalat" w:cs="Sylfaen"/>
          <w:i w:val="0"/>
          <w:color w:val="000000" w:themeColor="text1"/>
          <w:sz w:val="18"/>
          <w:vertAlign w:val="superscript"/>
          <w:lang w:val="hy-AM"/>
        </w:rPr>
        <w:t xml:space="preserve">             </w:t>
      </w:r>
      <w:r w:rsidR="00CB6541" w:rsidRPr="001B07F5">
        <w:rPr>
          <w:rFonts w:ascii="GHEA Grapalat" w:hAnsi="GHEA Grapalat" w:cs="Sylfaen"/>
          <w:i w:val="0"/>
          <w:color w:val="000000" w:themeColor="text1"/>
          <w:sz w:val="18"/>
          <w:vertAlign w:val="superscript"/>
          <w:lang w:val="af-ZA"/>
        </w:rPr>
        <w:t xml:space="preserve">                </w:t>
      </w:r>
    </w:p>
    <w:p w:rsidR="00435383" w:rsidRPr="001B07F5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1B07F5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Հեռախոս` 010-66-24-94</w:t>
      </w:r>
    </w:p>
    <w:p w:rsidR="00435383" w:rsidRPr="001B07F5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000000" w:themeColor="text1"/>
          <w:sz w:val="18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 xml:space="preserve">Էլ.փոստ` </w:t>
      </w:r>
      <w:r w:rsidRPr="001B07F5">
        <w:rPr>
          <w:rFonts w:ascii="GHEA Grapalat" w:hAnsi="GHEA Grapalat"/>
          <w:i w:val="0"/>
          <w:color w:val="000000" w:themeColor="text1"/>
          <w:sz w:val="18"/>
          <w:szCs w:val="21"/>
          <w:lang w:val="af-ZA"/>
        </w:rPr>
        <w:t xml:space="preserve"> </w:t>
      </w:r>
      <w:hyperlink r:id="rId6" w:history="1">
        <w:r w:rsidRPr="001B07F5">
          <w:rPr>
            <w:rStyle w:val="Heading2Char"/>
            <w:b w:val="0"/>
            <w:i w:val="0"/>
            <w:color w:val="000000" w:themeColor="text1"/>
            <w:sz w:val="18"/>
            <w:szCs w:val="19"/>
            <w:lang w:val="af-ZA"/>
          </w:rPr>
          <w:t>m.hokheyan@mil.am</w:t>
        </w:r>
      </w:hyperlink>
      <w:r w:rsidRPr="001B07F5">
        <w:rPr>
          <w:rStyle w:val="Heading2Char"/>
          <w:rFonts w:ascii="Arial" w:hAnsi="Arial" w:cs="Arial"/>
          <w:b w:val="0"/>
          <w:i w:val="0"/>
          <w:color w:val="000000" w:themeColor="text1"/>
          <w:sz w:val="18"/>
          <w:lang w:val="af-ZA"/>
        </w:rPr>
        <w:t>։</w:t>
      </w:r>
    </w:p>
    <w:p w:rsidR="00CB6541" w:rsidRPr="001B07F5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1B07F5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1B07F5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1B07F5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1B07F5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1B07F5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1B07F5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1B07F5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1B07F5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1B07F5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1B07F5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1B07F5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1B07F5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1B07F5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1B07F5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1B07F5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1B07F5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24EED" w:rsidRPr="001B07F5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1B07F5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1B07F5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B51590" w:rsidRPr="001B07F5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«ՀՀ</w:t>
      </w:r>
      <w:r w:rsidR="007308FC"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ՊՆ</w:t>
      </w:r>
      <w:r w:rsidR="007308FC"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ՆՏԱԴ-ՓՆՄԾՁԲ-</w:t>
      </w:r>
      <w:r w:rsidR="008F0538"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20-</w:t>
      </w:r>
      <w:r w:rsidR="0086733F"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10/12</w:t>
      </w:r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»</w:t>
      </w:r>
      <w:r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B51590" w:rsidRPr="001B07F5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435383" w:rsidRPr="001B07F5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1B07F5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1B07F5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24EED" w:rsidRPr="001B07F5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1B07F5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</w:t>
      </w:r>
    </w:p>
    <w:p w:rsidR="00CB6541" w:rsidRPr="001B07F5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1B07F5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1B07F5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1B07F5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1B07F5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1B07F5" w:rsidRDefault="00CB6541" w:rsidP="00CB6541">
      <w:pPr>
        <w:rPr>
          <w:color w:val="000000" w:themeColor="text1"/>
          <w:lang w:val="es-ES" w:eastAsia="ru-RU"/>
        </w:rPr>
      </w:pPr>
    </w:p>
    <w:p w:rsidR="007308FC" w:rsidRPr="001B07F5" w:rsidRDefault="007308FC" w:rsidP="00CB6541">
      <w:pPr>
        <w:rPr>
          <w:color w:val="000000" w:themeColor="text1"/>
          <w:lang w:val="es-ES" w:eastAsia="ru-RU"/>
        </w:rPr>
      </w:pPr>
    </w:p>
    <w:p w:rsidR="007308FC" w:rsidRPr="001B07F5" w:rsidRDefault="007308FC" w:rsidP="00CB6541">
      <w:pPr>
        <w:rPr>
          <w:color w:val="000000" w:themeColor="text1"/>
          <w:lang w:val="es-ES" w:eastAsia="ru-RU"/>
        </w:rPr>
      </w:pPr>
    </w:p>
    <w:p w:rsidR="00CB6541" w:rsidRPr="001B07F5" w:rsidRDefault="00CB6541" w:rsidP="004B711F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1B07F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4B711F" w:rsidRPr="001B07F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</w:t>
      </w:r>
      <w:r w:rsidRPr="001B07F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4B711F" w:rsidRPr="001B07F5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4B711F" w:rsidRPr="001B07F5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4B711F" w:rsidRPr="001B07F5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1B07F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1B07F5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4B711F"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1B07F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1B07F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1B07F5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7308FC" w:rsidRPr="001B07F5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ՀՀ ՊՆ ՆՏԱԴ</w:t>
      </w:r>
      <w:r w:rsidR="007308FC" w:rsidRPr="001B07F5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-</w:t>
      </w:r>
      <w:r w:rsidR="007308FC" w:rsidRPr="001B07F5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ՓՆՄԾՁԲ</w:t>
      </w:r>
      <w:r w:rsidR="007308FC" w:rsidRPr="001B07F5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-</w:t>
      </w:r>
      <w:r w:rsidR="008F0538" w:rsidRPr="001B07F5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20-</w:t>
      </w:r>
      <w:r w:rsidR="0086733F" w:rsidRPr="001B07F5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10/12</w:t>
      </w:r>
      <w:r w:rsidR="000D72FD" w:rsidRPr="001B07F5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08FC"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1B07F5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B07F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1B07F5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1B07F5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1B07F5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1B07F5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1B07F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B07F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B07F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B07F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1B07F5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1B07F5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1B07F5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1B07F5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1B07F5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1B07F5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1B07F5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1B07F5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1B07F5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1B07F5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1B07F5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1B07F5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1B07F5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1B07F5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1B07F5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1B07F5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1B07F5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1B07F5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1B07F5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1B07F5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1B07F5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1B07F5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B07F5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1B07F5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B07F5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1B07F5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1B07F5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1B07F5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1B07F5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1B07F5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1B07F5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1B07F5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1B07F5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1B07F5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1B07F5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1B07F5" w:rsidRDefault="00CB6541" w:rsidP="00CB6541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022CB8" w:rsidRPr="001B07F5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1B07F5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1B07F5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1B07F5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1B07F5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1B07F5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1B07F5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08FC" w:rsidRPr="001B07F5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>«ՀՀ ՊՆ ՆՏԱԴ-ՓՆՄԾՁԲ-</w:t>
      </w:r>
      <w:r w:rsidR="000D72FD"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>20-</w:t>
      </w:r>
      <w:r w:rsidR="0086733F"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>10/12</w:t>
      </w:r>
      <w:r w:rsidRPr="001B07F5">
        <w:rPr>
          <w:rFonts w:ascii="GHEA Grapalat" w:hAnsi="GHEA Grapalat"/>
          <w:color w:val="000000" w:themeColor="text1"/>
          <w:sz w:val="18"/>
          <w:szCs w:val="18"/>
          <w:lang w:val="af-ZA"/>
        </w:rPr>
        <w:t>»</w:t>
      </w:r>
      <w:r w:rsidRPr="001B07F5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1B07F5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փակ </w:t>
      </w:r>
    </w:p>
    <w:p w:rsidR="007308FC" w:rsidRPr="001B07F5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1B07F5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1B07F5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1B07F5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1B07F5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1B07F5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1B07F5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1B07F5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1B07F5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1B07F5" w:rsidRDefault="00CB6541" w:rsidP="00CB6541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1B07F5" w:rsidRDefault="00CB6541" w:rsidP="00024EED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B07F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B07F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B07F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B07F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024EED" w:rsidRPr="001B07F5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024EED" w:rsidRPr="001B07F5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024EED" w:rsidRPr="001B07F5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1B07F5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1B07F5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1B07F5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1B07F5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1B07F5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1B07F5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1B07F5" w:rsidRPr="001B07F5" w:rsidTr="004B5D8D">
        <w:tc>
          <w:tcPr>
            <w:tcW w:w="10188" w:type="dxa"/>
            <w:gridSpan w:val="3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B07F5" w:rsidRPr="001B07F5" w:rsidTr="004B5D8D">
        <w:tc>
          <w:tcPr>
            <w:tcW w:w="10188" w:type="dxa"/>
            <w:gridSpan w:val="3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B07F5" w:rsidRPr="001B07F5" w:rsidTr="004B5D8D">
        <w:tc>
          <w:tcPr>
            <w:tcW w:w="10188" w:type="dxa"/>
            <w:gridSpan w:val="3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B07F5" w:rsidRPr="001B07F5" w:rsidTr="004B5D8D">
        <w:tc>
          <w:tcPr>
            <w:tcW w:w="10188" w:type="dxa"/>
            <w:gridSpan w:val="3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1B07F5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6541" w:rsidRPr="001B07F5" w:rsidTr="004B5D8D">
        <w:tc>
          <w:tcPr>
            <w:tcW w:w="1458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1B07F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1B07F5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1B07F5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1B07F5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1B07F5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1B07F5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1B07F5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1B07F5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1B07F5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1B07F5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1B07F5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B07F5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1B07F5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1B07F5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1B07F5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1B07F5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B07F5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1B07F5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1B07F5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1B07F5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1B07F5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1B07F5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1B07F5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1B07F5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1B07F5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1B07F5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bookmarkEnd w:id="0"/>
    <w:p w:rsidR="00B13A05" w:rsidRPr="001B07F5" w:rsidRDefault="00B13A05" w:rsidP="00CB6541">
      <w:pPr>
        <w:rPr>
          <w:color w:val="000000" w:themeColor="text1"/>
        </w:rPr>
      </w:pPr>
    </w:p>
    <w:sectPr w:rsidR="00B13A05" w:rsidRPr="001B07F5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07740"/>
    <w:rsid w:val="00022CB8"/>
    <w:rsid w:val="00024EED"/>
    <w:rsid w:val="00025211"/>
    <w:rsid w:val="0005475D"/>
    <w:rsid w:val="000B6523"/>
    <w:rsid w:val="000D72FD"/>
    <w:rsid w:val="00101284"/>
    <w:rsid w:val="0014142B"/>
    <w:rsid w:val="0015619E"/>
    <w:rsid w:val="001B07F5"/>
    <w:rsid w:val="00242936"/>
    <w:rsid w:val="00243E72"/>
    <w:rsid w:val="003267AD"/>
    <w:rsid w:val="00375792"/>
    <w:rsid w:val="00385CE5"/>
    <w:rsid w:val="003A62A0"/>
    <w:rsid w:val="003E006F"/>
    <w:rsid w:val="004179A0"/>
    <w:rsid w:val="00435383"/>
    <w:rsid w:val="00464A30"/>
    <w:rsid w:val="004662DE"/>
    <w:rsid w:val="00482CD9"/>
    <w:rsid w:val="00492C99"/>
    <w:rsid w:val="004A64CF"/>
    <w:rsid w:val="004B711F"/>
    <w:rsid w:val="004E485F"/>
    <w:rsid w:val="00550C15"/>
    <w:rsid w:val="005823EB"/>
    <w:rsid w:val="005C5553"/>
    <w:rsid w:val="005E090A"/>
    <w:rsid w:val="0065479B"/>
    <w:rsid w:val="0067720A"/>
    <w:rsid w:val="007308FC"/>
    <w:rsid w:val="00750131"/>
    <w:rsid w:val="007A5ABE"/>
    <w:rsid w:val="007B6F84"/>
    <w:rsid w:val="007E65EF"/>
    <w:rsid w:val="007E7C60"/>
    <w:rsid w:val="0082356F"/>
    <w:rsid w:val="00826F26"/>
    <w:rsid w:val="0084757D"/>
    <w:rsid w:val="0086733F"/>
    <w:rsid w:val="00897871"/>
    <w:rsid w:val="008D0B99"/>
    <w:rsid w:val="008F0538"/>
    <w:rsid w:val="00933F37"/>
    <w:rsid w:val="009E1F00"/>
    <w:rsid w:val="009F6413"/>
    <w:rsid w:val="00A05746"/>
    <w:rsid w:val="00A503E3"/>
    <w:rsid w:val="00AA4FF6"/>
    <w:rsid w:val="00B13A05"/>
    <w:rsid w:val="00B147FA"/>
    <w:rsid w:val="00B51590"/>
    <w:rsid w:val="00B676DF"/>
    <w:rsid w:val="00C75473"/>
    <w:rsid w:val="00C816F9"/>
    <w:rsid w:val="00CB6541"/>
    <w:rsid w:val="00DD2FE3"/>
    <w:rsid w:val="00DE1734"/>
    <w:rsid w:val="00E3246E"/>
    <w:rsid w:val="00EA00D3"/>
    <w:rsid w:val="00EA57E6"/>
    <w:rsid w:val="00F26BC3"/>
    <w:rsid w:val="00F42095"/>
    <w:rsid w:val="00F47923"/>
    <w:rsid w:val="00F8443D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2EE44-B6A7-4680-BB7D-C82C07AB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ED2A-0206-4F16-B3FA-CA03CD6D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2020-04-29T07:32:00Z</cp:lastPrinted>
  <dcterms:created xsi:type="dcterms:W3CDTF">2020-02-28T06:50:00Z</dcterms:created>
  <dcterms:modified xsi:type="dcterms:W3CDTF">2020-04-29T13:41:00Z</dcterms:modified>
</cp:coreProperties>
</file>